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B5" w:rsidRPr="008A79E5" w:rsidRDefault="008A79E5">
      <w:pPr>
        <w:rPr>
          <w:rFonts w:ascii="Arial" w:hAnsi="Arial" w:cs="Arial"/>
          <w:sz w:val="36"/>
          <w:szCs w:val="36"/>
          <w:u w:val="single"/>
        </w:rPr>
      </w:pPr>
      <w:r w:rsidRPr="008A79E5">
        <w:rPr>
          <w:rFonts w:ascii="Arial" w:hAnsi="Arial" w:cs="Arial"/>
          <w:sz w:val="36"/>
          <w:szCs w:val="36"/>
          <w:u w:val="single"/>
        </w:rPr>
        <w:t>15.4: Surface Areas and Volumes of Similar Solids</w:t>
      </w:r>
    </w:p>
    <w:p w:rsidR="008A79E5" w:rsidRPr="008A79E5" w:rsidRDefault="008A79E5">
      <w:pPr>
        <w:rPr>
          <w:rFonts w:ascii="Arial" w:hAnsi="Arial" w:cs="Arial"/>
          <w:sz w:val="36"/>
          <w:szCs w:val="36"/>
          <w:u w:val="single"/>
        </w:rPr>
      </w:pPr>
    </w:p>
    <w:p w:rsidR="008A79E5" w:rsidRPr="008A79E5" w:rsidRDefault="008A79E5">
      <w:pPr>
        <w:rPr>
          <w:rFonts w:ascii="Arial" w:hAnsi="Arial" w:cs="Arial"/>
          <w:sz w:val="36"/>
          <w:szCs w:val="36"/>
          <w:u w:val="single"/>
        </w:rPr>
      </w:pPr>
      <w:r w:rsidRPr="008A79E5">
        <w:rPr>
          <w:rFonts w:ascii="Arial" w:hAnsi="Arial" w:cs="Arial"/>
          <w:sz w:val="36"/>
          <w:szCs w:val="36"/>
          <w:u w:val="single"/>
        </w:rPr>
        <w:t>Similar Solids-</w:t>
      </w:r>
    </w:p>
    <w:p w:rsidR="008A79E5" w:rsidRPr="008A79E5" w:rsidRDefault="008A79E5">
      <w:pPr>
        <w:rPr>
          <w:rFonts w:ascii="Arial" w:hAnsi="Arial" w:cs="Arial"/>
          <w:sz w:val="36"/>
          <w:szCs w:val="36"/>
        </w:rPr>
      </w:pPr>
      <w:r w:rsidRPr="008A79E5">
        <w:rPr>
          <w:rFonts w:ascii="Arial" w:hAnsi="Arial" w:cs="Arial"/>
          <w:sz w:val="36"/>
          <w:szCs w:val="36"/>
        </w:rPr>
        <w:t xml:space="preserve">Are solids that have the same shape and proportional corresponding </w:t>
      </w:r>
      <w:proofErr w:type="gramStart"/>
      <w:r w:rsidRPr="008A79E5">
        <w:rPr>
          <w:rFonts w:ascii="Arial" w:hAnsi="Arial" w:cs="Arial"/>
          <w:sz w:val="36"/>
          <w:szCs w:val="36"/>
        </w:rPr>
        <w:t>dimensions</w:t>
      </w:r>
      <w:proofErr w:type="gramEnd"/>
    </w:p>
    <w:p w:rsidR="008A79E5" w:rsidRPr="008A79E5" w:rsidRDefault="008A79E5">
      <w:pPr>
        <w:rPr>
          <w:rFonts w:ascii="Arial" w:hAnsi="Arial" w:cs="Arial"/>
          <w:sz w:val="36"/>
          <w:szCs w:val="36"/>
        </w:rPr>
      </w:pPr>
    </w:p>
    <w:p w:rsidR="008A79E5" w:rsidRDefault="008A79E5" w:rsidP="008A79E5">
      <w:pPr>
        <w:pStyle w:val="epDirectionLine"/>
        <w:rPr>
          <w:sz w:val="36"/>
          <w:szCs w:val="36"/>
        </w:rPr>
      </w:pPr>
      <w:r w:rsidRPr="008A79E5">
        <w:rPr>
          <w:sz w:val="36"/>
          <w:szCs w:val="36"/>
        </w:rPr>
        <w:t>Determine whether the solids are similar.</w:t>
      </w:r>
    </w:p>
    <w:p w:rsidR="008A79E5" w:rsidRPr="008A79E5" w:rsidRDefault="008A79E5" w:rsidP="008A79E5"/>
    <w:p w:rsidR="008A79E5" w:rsidRPr="008A79E5" w:rsidRDefault="008A79E5" w:rsidP="008A79E5">
      <w:pPr>
        <w:pStyle w:val="epNumList2"/>
        <w:spacing w:after="1880"/>
        <w:rPr>
          <w:sz w:val="36"/>
          <w:szCs w:val="36"/>
        </w:rPr>
      </w:pP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1.</w:t>
      </w:r>
      <w:r w:rsidRPr="008A79E5">
        <w:rPr>
          <w:sz w:val="36"/>
          <w:szCs w:val="36"/>
        </w:rPr>
        <w:tab/>
      </w:r>
      <w:r w:rsidRPr="008A79E5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2ADE1B4" wp14:editId="03B8751C">
            <wp:simplePos x="0" y="0"/>
            <wp:positionH relativeFrom="column">
              <wp:posOffset>354965</wp:posOffset>
            </wp:positionH>
            <wp:positionV relativeFrom="paragraph">
              <wp:posOffset>24765</wp:posOffset>
            </wp:positionV>
            <wp:extent cx="1993900" cy="1206500"/>
            <wp:effectExtent l="19050" t="0" r="6350" b="0"/>
            <wp:wrapNone/>
            <wp:docPr id="10" name="Picture 10" descr="TA: C:\replacearts\Red Accel RBC and Assess Book\RBC\Red Accel Chapter 15 RBC\Arts\PNGs\mscc8_rbc_0804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2.</w:t>
      </w:r>
      <w:r w:rsidRPr="008A79E5">
        <w:rPr>
          <w:sz w:val="36"/>
          <w:szCs w:val="36"/>
        </w:rPr>
        <w:tab/>
      </w:r>
      <w:r w:rsidRPr="008A79E5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67167EC" wp14:editId="57AC9DC7">
            <wp:simplePos x="0" y="0"/>
            <wp:positionH relativeFrom="column">
              <wp:posOffset>3211195</wp:posOffset>
            </wp:positionH>
            <wp:positionV relativeFrom="paragraph">
              <wp:posOffset>73025</wp:posOffset>
            </wp:positionV>
            <wp:extent cx="1638300" cy="1104900"/>
            <wp:effectExtent l="19050" t="0" r="0" b="0"/>
            <wp:wrapNone/>
            <wp:docPr id="9" name="Picture 9" descr="TA: C:\replacearts\Red Accel RBC and Assess Book\RBC\Red Accel Chapter 15 RBC\Arts\PNGs\mscc8_rbc_0804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5" w:rsidRDefault="008A79E5" w:rsidP="008A79E5">
      <w:pPr>
        <w:pStyle w:val="epDirectionLine"/>
        <w:rPr>
          <w:sz w:val="36"/>
          <w:szCs w:val="36"/>
        </w:rPr>
      </w:pPr>
    </w:p>
    <w:p w:rsidR="008A79E5" w:rsidRDefault="008A79E5" w:rsidP="008A79E5">
      <w:pPr>
        <w:pStyle w:val="epDirectionLine"/>
        <w:rPr>
          <w:sz w:val="36"/>
          <w:szCs w:val="36"/>
        </w:rPr>
      </w:pPr>
    </w:p>
    <w:p w:rsidR="008A79E5" w:rsidRDefault="008A79E5" w:rsidP="008A79E5">
      <w:pPr>
        <w:pStyle w:val="epDirectionLine"/>
        <w:rPr>
          <w:sz w:val="36"/>
          <w:szCs w:val="36"/>
        </w:rPr>
      </w:pPr>
    </w:p>
    <w:p w:rsidR="008A79E5" w:rsidRDefault="008A79E5" w:rsidP="008A79E5">
      <w:pPr>
        <w:pStyle w:val="epDirectionLine"/>
        <w:rPr>
          <w:sz w:val="36"/>
          <w:szCs w:val="36"/>
        </w:rPr>
      </w:pPr>
      <w:r w:rsidRPr="008A79E5">
        <w:rPr>
          <w:sz w:val="36"/>
          <w:szCs w:val="36"/>
        </w:rPr>
        <w:t>The solids are similar. Find the missing dimension(s).</w:t>
      </w:r>
    </w:p>
    <w:p w:rsidR="008A79E5" w:rsidRDefault="008A79E5" w:rsidP="008A79E5"/>
    <w:p w:rsidR="008A79E5" w:rsidRDefault="008A79E5" w:rsidP="008A79E5"/>
    <w:p w:rsidR="008A79E5" w:rsidRPr="008A79E5" w:rsidRDefault="008A79E5" w:rsidP="008A79E5"/>
    <w:p w:rsidR="008A79E5" w:rsidRPr="008A79E5" w:rsidRDefault="008A79E5" w:rsidP="008A79E5">
      <w:pPr>
        <w:pStyle w:val="epNumList2"/>
        <w:spacing w:after="2360"/>
        <w:rPr>
          <w:sz w:val="36"/>
          <w:szCs w:val="36"/>
        </w:rPr>
      </w:pP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3.</w:t>
      </w:r>
      <w:r w:rsidRPr="008A79E5">
        <w:rPr>
          <w:sz w:val="36"/>
          <w:szCs w:val="36"/>
        </w:rPr>
        <w:tab/>
      </w:r>
      <w:r w:rsidRPr="008A79E5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42DBB5B" wp14:editId="397940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609600"/>
            <wp:effectExtent l="0" t="0" r="0" b="0"/>
            <wp:wrapNone/>
            <wp:docPr id="8" name="Picture 8" descr="TA: C:\replacearts\Red Accel RBC and Assess Book\RBC\Red Accel Chapter 15 RBC\Arts\PNGs\mscc8_rbc_0804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4.</w:t>
      </w:r>
      <w:r w:rsidRPr="008A79E5">
        <w:rPr>
          <w:sz w:val="36"/>
          <w:szCs w:val="36"/>
        </w:rPr>
        <w:tab/>
      </w:r>
      <w:r w:rsidRPr="008A79E5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BA4337E" wp14:editId="65585618">
            <wp:simplePos x="0" y="0"/>
            <wp:positionH relativeFrom="column">
              <wp:posOffset>3202940</wp:posOffset>
            </wp:positionH>
            <wp:positionV relativeFrom="paragraph">
              <wp:posOffset>55245</wp:posOffset>
            </wp:positionV>
            <wp:extent cx="2146300" cy="1473200"/>
            <wp:effectExtent l="19050" t="0" r="6350" b="0"/>
            <wp:wrapNone/>
            <wp:docPr id="7" name="Picture 7" descr="TA: C:\replacearts\Red Accel RBC and Assess Book\RBC\Red Accel Chapter 15 RBC\Arts\PNGs\mscc8_rbc_0804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5" w:rsidRDefault="008A79E5" w:rsidP="008A79E5">
      <w:pPr>
        <w:pStyle w:val="epDirectionLine"/>
        <w:rPr>
          <w:sz w:val="36"/>
          <w:szCs w:val="36"/>
        </w:rPr>
      </w:pPr>
    </w:p>
    <w:p w:rsidR="008A79E5" w:rsidRDefault="008A79E5" w:rsidP="008A79E5">
      <w:pPr>
        <w:pStyle w:val="epDirectionLine"/>
        <w:rPr>
          <w:sz w:val="36"/>
          <w:szCs w:val="36"/>
        </w:rPr>
      </w:pPr>
      <w:r w:rsidRPr="008A79E5">
        <w:rPr>
          <w:sz w:val="36"/>
          <w:szCs w:val="36"/>
        </w:rPr>
        <w:lastRenderedPageBreak/>
        <w:t xml:space="preserve">The solids are similar. Find the surface area </w:t>
      </w:r>
      <w:r w:rsidRPr="008A79E5">
        <w:rPr>
          <w:i/>
          <w:sz w:val="36"/>
          <w:szCs w:val="36"/>
        </w:rPr>
        <w:t>S</w:t>
      </w:r>
      <w:r w:rsidRPr="008A79E5">
        <w:rPr>
          <w:sz w:val="36"/>
          <w:szCs w:val="36"/>
        </w:rPr>
        <w:t xml:space="preserve"> or the volume </w:t>
      </w:r>
      <w:r w:rsidRPr="008A79E5">
        <w:rPr>
          <w:i/>
          <w:sz w:val="36"/>
          <w:szCs w:val="36"/>
        </w:rPr>
        <w:t>V</w:t>
      </w:r>
      <w:r w:rsidRPr="008A79E5">
        <w:rPr>
          <w:sz w:val="36"/>
          <w:szCs w:val="36"/>
        </w:rPr>
        <w:t xml:space="preserve"> of the larger solid. Round your answer to the nearest tenth.</w:t>
      </w:r>
    </w:p>
    <w:p w:rsidR="008A79E5" w:rsidRPr="008A79E5" w:rsidRDefault="008A79E5" w:rsidP="008A79E5"/>
    <w:p w:rsidR="008A79E5" w:rsidRPr="008A79E5" w:rsidRDefault="008A79E5" w:rsidP="008A79E5">
      <w:pPr>
        <w:pStyle w:val="epNumList2"/>
        <w:rPr>
          <w:sz w:val="36"/>
          <w:szCs w:val="36"/>
        </w:rPr>
      </w:pP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5.</w:t>
      </w:r>
      <w:r w:rsidRPr="008A79E5">
        <w:rPr>
          <w:sz w:val="36"/>
          <w:szCs w:val="36"/>
        </w:rPr>
        <w:tab/>
      </w:r>
      <w:r w:rsidRPr="008A79E5">
        <w:rPr>
          <w:position w:val="-6"/>
          <w:sz w:val="36"/>
          <w:szCs w:val="36"/>
        </w:rPr>
        <w:object w:dxaOrig="2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6pt" o:ole="">
            <v:imagedata r:id="rId13" o:title=""/>
          </v:shape>
          <o:OLEObject Type="Embed" ProgID="Equation.DSMT4" ShapeID="_x0000_i1025" DrawAspect="Content" ObjectID="_1361622308" r:id="rId14"/>
        </w:object>
      </w: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6.</w:t>
      </w:r>
      <w:r w:rsidRPr="008A79E5">
        <w:rPr>
          <w:sz w:val="36"/>
          <w:szCs w:val="36"/>
        </w:rPr>
        <w:tab/>
      </w:r>
      <w:r w:rsidRPr="008A79E5">
        <w:rPr>
          <w:position w:val="-6"/>
          <w:sz w:val="36"/>
          <w:szCs w:val="36"/>
        </w:rPr>
        <w:object w:dxaOrig="2340" w:dyaOrig="320">
          <v:shape id="_x0000_i1026" type="#_x0000_t75" style="width:117pt;height:16pt" o:ole="">
            <v:imagedata r:id="rId15" o:title=""/>
          </v:shape>
          <o:OLEObject Type="Embed" ProgID="Equation.DSMT4" ShapeID="_x0000_i1026" DrawAspect="Content" ObjectID="_1361622309" r:id="rId16"/>
        </w:object>
      </w:r>
    </w:p>
    <w:p w:rsidR="008A79E5" w:rsidRPr="008A79E5" w:rsidRDefault="008A79E5" w:rsidP="008A79E5">
      <w:pPr>
        <w:pStyle w:val="epNumList2"/>
        <w:spacing w:after="2280"/>
        <w:rPr>
          <w:sz w:val="36"/>
          <w:szCs w:val="36"/>
        </w:rPr>
      </w:pPr>
      <w:r w:rsidRPr="008A79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CB398A" wp14:editId="5E6B219F">
            <wp:simplePos x="0" y="0"/>
            <wp:positionH relativeFrom="column">
              <wp:posOffset>3202940</wp:posOffset>
            </wp:positionH>
            <wp:positionV relativeFrom="paragraph">
              <wp:posOffset>24765</wp:posOffset>
            </wp:positionV>
            <wp:extent cx="977900" cy="2279650"/>
            <wp:effectExtent l="0" t="0" r="12700" b="6350"/>
            <wp:wrapNone/>
            <wp:docPr id="5" name="Picture 5" descr="TA: C:\replacearts\Red Accel RBC and Assess Book\RBC\Red Accel Chapter 15 RBC\Arts\PNGs\mscc8_rbc_0804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79E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65E495D" wp14:editId="0A312E55">
            <wp:simplePos x="0" y="0"/>
            <wp:positionH relativeFrom="column">
              <wp:posOffset>379730</wp:posOffset>
            </wp:positionH>
            <wp:positionV relativeFrom="paragraph">
              <wp:posOffset>32385</wp:posOffset>
            </wp:positionV>
            <wp:extent cx="1906270" cy="2386330"/>
            <wp:effectExtent l="0" t="0" r="0" b="1270"/>
            <wp:wrapNone/>
            <wp:docPr id="6" name="Picture 6" descr="TA: C:\replacearts\Red Accel RBC and Assess Book\RBC\Red Accel Chapter 15 RBC\Arts\PNGs\mscc8_rbc_0804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9E5">
        <w:rPr>
          <w:sz w:val="36"/>
          <w:szCs w:val="36"/>
        </w:rPr>
        <w:tab/>
      </w:r>
      <w:r w:rsidRPr="008A79E5">
        <w:rPr>
          <w:sz w:val="36"/>
          <w:szCs w:val="36"/>
        </w:rPr>
        <w:tab/>
      </w:r>
      <w:r w:rsidRPr="008A79E5">
        <w:rPr>
          <w:sz w:val="36"/>
          <w:szCs w:val="36"/>
        </w:rPr>
        <w:tab/>
      </w:r>
      <w:r w:rsidRPr="008A79E5">
        <w:rPr>
          <w:sz w:val="36"/>
          <w:szCs w:val="36"/>
        </w:rPr>
        <w:tab/>
      </w:r>
    </w:p>
    <w:p w:rsidR="008A79E5" w:rsidRDefault="008A79E5" w:rsidP="008A79E5">
      <w:pPr>
        <w:pStyle w:val="epNumList1"/>
        <w:rPr>
          <w:sz w:val="36"/>
          <w:szCs w:val="36"/>
        </w:rPr>
      </w:pPr>
    </w:p>
    <w:p w:rsidR="008A79E5" w:rsidRDefault="008A79E5" w:rsidP="008A79E5">
      <w:pPr>
        <w:pStyle w:val="epNumList1"/>
        <w:rPr>
          <w:sz w:val="36"/>
          <w:szCs w:val="36"/>
        </w:rPr>
      </w:pPr>
    </w:p>
    <w:p w:rsidR="008A79E5" w:rsidRDefault="008A79E5" w:rsidP="008A79E5">
      <w:pPr>
        <w:pStyle w:val="epNumList1"/>
        <w:rPr>
          <w:sz w:val="36"/>
          <w:szCs w:val="36"/>
        </w:rPr>
      </w:pPr>
    </w:p>
    <w:p w:rsidR="008A79E5" w:rsidRDefault="008A79E5" w:rsidP="008A79E5">
      <w:pPr>
        <w:pStyle w:val="epNumList1"/>
        <w:rPr>
          <w:sz w:val="36"/>
          <w:szCs w:val="36"/>
        </w:rPr>
      </w:pPr>
    </w:p>
    <w:p w:rsidR="008A79E5" w:rsidRPr="008A79E5" w:rsidRDefault="008A79E5" w:rsidP="008A79E5">
      <w:pPr>
        <w:pStyle w:val="epNumList1"/>
        <w:rPr>
          <w:sz w:val="36"/>
          <w:szCs w:val="36"/>
        </w:rPr>
      </w:pPr>
      <w:bookmarkStart w:id="0" w:name="_GoBack"/>
      <w:bookmarkEnd w:id="0"/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7.</w:t>
      </w:r>
      <w:r w:rsidRPr="008A79E5">
        <w:rPr>
          <w:sz w:val="36"/>
          <w:szCs w:val="36"/>
        </w:rPr>
        <w:tab/>
        <w:t xml:space="preserve">The ratio of the corresponding linear measures of two similar cans of cat food is </w:t>
      </w:r>
      <w:proofErr w:type="gramStart"/>
      <w:r w:rsidRPr="008A79E5">
        <w:rPr>
          <w:sz w:val="36"/>
          <w:szCs w:val="36"/>
        </w:rPr>
        <w:t>4 :</w:t>
      </w:r>
      <w:proofErr w:type="gramEnd"/>
      <w:r w:rsidRPr="008A79E5">
        <w:rPr>
          <w:sz w:val="36"/>
          <w:szCs w:val="36"/>
        </w:rPr>
        <w:t xml:space="preserve"> 3. </w:t>
      </w:r>
    </w:p>
    <w:p w:rsidR="008A79E5" w:rsidRPr="008A79E5" w:rsidRDefault="008A79E5" w:rsidP="008A79E5">
      <w:pPr>
        <w:pStyle w:val="epLetSubList1"/>
        <w:rPr>
          <w:sz w:val="36"/>
          <w:szCs w:val="36"/>
        </w:rPr>
      </w:pP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a.</w:t>
      </w:r>
      <w:r w:rsidRPr="008A79E5">
        <w:rPr>
          <w:sz w:val="36"/>
          <w:szCs w:val="36"/>
        </w:rPr>
        <w:tab/>
        <w:t>The larger can has a surface area of 100 square inches. Find the surface area of the smaller can. Round your answer to the nearest tenth.</w:t>
      </w:r>
    </w:p>
    <w:p w:rsidR="008A79E5" w:rsidRPr="008A79E5" w:rsidRDefault="008A79E5" w:rsidP="008A79E5">
      <w:pPr>
        <w:pStyle w:val="epLetSubList1"/>
        <w:rPr>
          <w:sz w:val="36"/>
          <w:szCs w:val="36"/>
        </w:rPr>
      </w:pPr>
      <w:r w:rsidRPr="008A79E5">
        <w:rPr>
          <w:sz w:val="36"/>
          <w:szCs w:val="36"/>
        </w:rPr>
        <w:tab/>
      </w:r>
      <w:r w:rsidRPr="008A79E5">
        <w:rPr>
          <w:rStyle w:val="epListNumber"/>
          <w:sz w:val="36"/>
          <w:szCs w:val="36"/>
        </w:rPr>
        <w:t>b.</w:t>
      </w:r>
      <w:r w:rsidRPr="008A79E5">
        <w:rPr>
          <w:sz w:val="36"/>
          <w:szCs w:val="36"/>
        </w:rPr>
        <w:tab/>
        <w:t xml:space="preserve">The larger can has a volume of 150 cubic inches. Find the volume of </w:t>
      </w:r>
      <w:r w:rsidRPr="008A79E5">
        <w:rPr>
          <w:sz w:val="36"/>
          <w:szCs w:val="36"/>
        </w:rPr>
        <w:br/>
        <w:t>the smaller can. Round your answer to the nearest tenth.</w:t>
      </w:r>
    </w:p>
    <w:p w:rsidR="008A79E5" w:rsidRPr="008A79E5" w:rsidRDefault="008A79E5" w:rsidP="008A79E5">
      <w:pPr>
        <w:pStyle w:val="aaaNameDate"/>
        <w:rPr>
          <w:sz w:val="36"/>
          <w:szCs w:val="36"/>
        </w:rPr>
      </w:pPr>
    </w:p>
    <w:p w:rsidR="008A79E5" w:rsidRPr="008A79E5" w:rsidRDefault="008A79E5" w:rsidP="008A79E5">
      <w:pPr>
        <w:rPr>
          <w:rFonts w:ascii="Arial" w:hAnsi="Arial" w:cs="Arial"/>
          <w:sz w:val="36"/>
          <w:szCs w:val="36"/>
        </w:rPr>
      </w:pPr>
      <w:r w:rsidRPr="008A79E5">
        <w:rPr>
          <w:rStyle w:val="Copyright"/>
          <w:sz w:val="36"/>
          <w:szCs w:val="36"/>
        </w:rPr>
        <w:br w:type="page"/>
      </w:r>
    </w:p>
    <w:sectPr w:rsidR="008A79E5" w:rsidRPr="008A79E5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5"/>
    <w:rsid w:val="008A79E5"/>
    <w:rsid w:val="00A857B5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8A79E5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8A79E5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8A79E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8A79E5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8A79E5"/>
    <w:rPr>
      <w:rFonts w:ascii="Arial" w:hAnsi="Arial"/>
      <w:sz w:val="16"/>
    </w:rPr>
  </w:style>
  <w:style w:type="paragraph" w:customStyle="1" w:styleId="epLetSubList1">
    <w:name w:val="epLetSubList1"/>
    <w:basedOn w:val="Normal"/>
    <w:rsid w:val="008A79E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paragraph" w:customStyle="1" w:styleId="aaaNameDate">
    <w:name w:val="aaaNameDate"/>
    <w:next w:val="Normal"/>
    <w:rsid w:val="008A79E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8A79E5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8A79E5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8A79E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8A79E5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8A79E5"/>
    <w:rPr>
      <w:rFonts w:ascii="Arial" w:hAnsi="Arial"/>
      <w:sz w:val="16"/>
    </w:rPr>
  </w:style>
  <w:style w:type="paragraph" w:customStyle="1" w:styleId="epLetSubList1">
    <w:name w:val="epLetSubList1"/>
    <w:basedOn w:val="Normal"/>
    <w:rsid w:val="008A79E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paragraph" w:customStyle="1" w:styleId="aaaNameDate">
    <w:name w:val="aaaNameDate"/>
    <w:next w:val="Normal"/>
    <w:rsid w:val="008A79E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file:///C:\replacearts\Red%20Accel%20RBC%20and%20Assess%20Book\RBC\Red%20Accel%20Chapter%2015%20RBC\Arts\PNGs\mscc8_rbc_0804_04.pn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5%20RBC\Arts\PNGs\mscc8_rbc_0804_02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Accel%20RBC%20and%20Assess%20Book\RBC\Red%20Accel%20Chapter%2015%20RBC\Arts\PNGs\mscc8_rbc_0804_03.png" TargetMode="External"/><Relationship Id="rId13" Type="http://schemas.openxmlformats.org/officeDocument/2006/relationships/image" Target="media/image5.wmf"/><Relationship Id="rId14" Type="http://schemas.openxmlformats.org/officeDocument/2006/relationships/oleObject" Target="embeddings/oleObject1.bin"/><Relationship Id="rId15" Type="http://schemas.openxmlformats.org/officeDocument/2006/relationships/image" Target="media/image6.wmf"/><Relationship Id="rId16" Type="http://schemas.openxmlformats.org/officeDocument/2006/relationships/oleObject" Target="embeddings/oleObject2.bin"/><Relationship Id="rId17" Type="http://schemas.openxmlformats.org/officeDocument/2006/relationships/image" Target="media/image7.png"/><Relationship Id="rId18" Type="http://schemas.openxmlformats.org/officeDocument/2006/relationships/image" Target="file:///C:\replacearts\Red%20Accel%20RBC%20and%20Assess%20Book\RBC\Red%20Accel%20Chapter%2015%20RBC\Arts\PNGs\mscc8_rbc_0804_05.png" TargetMode="External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Accel%20RBC%20and%20Assess%20Book\RBC\Red%20Accel%20Chapter%2015%20RBC\Arts\PNGs\mscc8_rbc_0804_00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Accel%20RBC%20and%20Assess%20Book\RBC\Red%20Accel%20Chapter%2015%20RBC\Arts\PNGs\mscc8_rbc_0804_0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2015-03-13T19:35:00Z</dcterms:created>
  <dcterms:modified xsi:type="dcterms:W3CDTF">2015-03-13T19:38:00Z</dcterms:modified>
</cp:coreProperties>
</file>